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/>
        <w:drawing>
          <wp:inline distT="0" distB="0" distL="0" distR="0">
            <wp:extent cx="1714500" cy="17145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</w:rPr>
      </w:pPr>
      <w:r>
        <w:rPr>
          <w:rFonts w:eastAsia="Ubuntu" w:cs="Ubuntu" w:ascii="Ubuntu" w:hAnsi="Ubuntu"/>
        </w:rPr>
      </w:r>
    </w:p>
    <w:p>
      <w:pPr>
        <w:pStyle w:val="Normal"/>
        <w:spacing w:before="0" w:after="0"/>
        <w:contextualSpacing/>
        <w:jc w:val="center"/>
        <w:rPr>
          <w:rFonts w:ascii="Ubuntu" w:hAnsi="Ubuntu" w:eastAsia="Ubuntu" w:cs="Ubuntu"/>
          <w:b/>
          <w:b/>
          <w:sz w:val="28"/>
          <w:szCs w:val="28"/>
        </w:rPr>
      </w:pPr>
      <w:r>
        <w:rPr>
          <w:rFonts w:eastAsia="Ubuntu" w:cs="Ubuntu" w:ascii="Ubuntu" w:hAnsi="Ubuntu"/>
          <w:b/>
          <w:sz w:val="28"/>
          <w:szCs w:val="28"/>
        </w:rPr>
        <w:t>Программный комплекс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rFonts w:eastAsia="Ubuntu" w:cs="Ubuntu" w:ascii="Ubuntu" w:hAnsi="Ubuntu"/>
          <w:b/>
          <w:sz w:val="48"/>
          <w:szCs w:val="48"/>
        </w:rPr>
        <w:t xml:space="preserve"> </w:t>
      </w:r>
      <w:r>
        <w:rPr>
          <w:rFonts w:eastAsia="Ubuntu" w:cs="Ubuntu" w:ascii="Ubuntu" w:hAnsi="Ubuntu"/>
          <w:b/>
          <w:sz w:val="96"/>
          <w:szCs w:val="96"/>
        </w:rPr>
        <w:t>“</w:t>
      </w:r>
      <w:r>
        <w:rPr>
          <w:rFonts w:eastAsia="Ubuntu" w:cs="Ubuntu" w:ascii="Ubuntu" w:hAnsi="Ubuntu"/>
          <w:b/>
          <w:sz w:val="96"/>
          <w:szCs w:val="96"/>
        </w:rPr>
        <w:t>МойДом”</w:t>
      </w:r>
    </w:p>
    <w:p>
      <w:pPr>
        <w:pStyle w:val="Normal"/>
        <w:spacing w:before="0" w:after="0"/>
        <w:ind w:firstLine="720"/>
        <w:contextualSpacing/>
        <w:jc w:val="center"/>
        <w:rPr/>
      </w:pPr>
      <w:r>
        <w:rPr>
          <w:b/>
        </w:rPr>
        <w:t>Функциональные характеристики программного обеспечения</w:t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2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Ubuntu" w:hAnsi="Ubuntu" w:eastAsia="Ubuntu" w:cs="Ubuntu"/>
          <w:b/>
          <w:b/>
          <w:color w:val="222222"/>
          <w:sz w:val="18"/>
          <w:szCs w:val="18"/>
          <w:shd w:fill="F3F3F3" w:val="clear"/>
        </w:rPr>
      </w:pPr>
      <w:r>
        <w:rPr>
          <w:rFonts w:eastAsia="Ubuntu" w:cs="Ubuntu" w:ascii="Ubuntu" w:hAnsi="Ubuntu"/>
          <w:b/>
          <w:color w:val="222222"/>
          <w:sz w:val="18"/>
          <w:szCs w:val="18"/>
          <w:shd w:fill="F3F3F3" w:val="clear"/>
        </w:rPr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  <w:highlight w:val="white"/>
        </w:rPr>
      </w:pPr>
      <w:r>
        <w:rPr>
          <w:b/>
          <w:color w:val="222222"/>
          <w:shd w:fill="F3F3F3" w:val="clear"/>
        </w:rPr>
        <w:t>1. Назначение программного комплекса «МойДом».</w:t>
      </w:r>
    </w:p>
    <w:p>
      <w:pPr>
        <w:pStyle w:val="Normal"/>
        <w:spacing w:lineRule="auto" w:line="240" w:before="0" w:after="0"/>
        <w:contextualSpacing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spacing w:lineRule="auto" w:line="240" w:before="0" w:after="0"/>
        <w:contextualSpacing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spacing w:lineRule="auto" w:line="240" w:before="0" w:after="0"/>
        <w:contextualSpacing/>
        <w:jc w:val="both"/>
        <w:rPr>
          <w:color w:val="222222"/>
        </w:rPr>
      </w:pPr>
      <w:r>
        <w:rPr>
          <w:color w:val="222222"/>
        </w:rPr>
        <w:t>Программный комплекс «МойДом» предназначен для систематизации, аналитики и оперативной работы с информацией об отключениях коммунальных ресурсов, затрагивающих жителей многоквартирых и жилых домов, предприятия и объекты социального назначения, позволяет автоматизировать работу с формируемыми жителями заявками по проблемам коммунального характера, возникающих в жилом доме и помещении, персонально уведомлять жителей о плановых и аварийных работах, проводимых на коммунальных сетях, обеспечивающих подачу коммунальных ресурсов в жилые дома и иные объекты, на получение уведомлений по которым жителем оформлена бесплатная подписка.</w:t>
      </w:r>
    </w:p>
    <w:p>
      <w:pPr>
        <w:pStyle w:val="Normal"/>
        <w:spacing w:lineRule="auto" w:line="240" w:before="0" w:after="0"/>
        <w:contextualSpacing/>
        <w:jc w:val="both"/>
        <w:rPr>
          <w:color w:val="222222"/>
        </w:rPr>
      </w:pPr>
      <w:r>
        <w:rPr>
          <w:color w:val="222222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  <w:highlight w:val="white"/>
        </w:rPr>
      </w:pPr>
      <w:r>
        <w:rPr>
          <w:b/>
          <w:color w:val="222222"/>
          <w:shd w:fill="EFEFEF" w:val="clear"/>
        </w:rPr>
        <w:t>2. Функциональные характеристики  ПК «МойДом» и эффект от внедрения ПК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  <w:highlight w:val="white"/>
        </w:rPr>
      </w:pPr>
      <w:r>
        <w:rPr>
          <w:b/>
          <w:color w:val="222222"/>
          <w:shd w:fill="F3F3F3" w:val="clear"/>
        </w:rPr>
        <w:t>2.1. для администрации органа местного самоуправления(ОМС)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spacing w:lineRule="auto" w:line="240" w:before="0" w:after="0"/>
        <w:contextualSpacing/>
        <w:jc w:val="both"/>
        <w:rPr>
          <w:color w:val="222222"/>
        </w:rPr>
      </w:pPr>
      <w:r>
        <w:rPr>
          <w:color w:val="222222"/>
        </w:rPr>
        <w:t>При работе ПК «МойДом» на территории, относящиеся к ОМС, решаются следующие вопросы: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автоматизация работы службы, ответственной за учет, диспетчеризацию и уведомление жителей о коммунальных авариях и плановых работах на сетях.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получение объективной и наглядной информации о причинах, сроках и исполнителях работ, проводимых на коммунальных сетях города.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снижение нагрузки на диспетчерскую службу по ЖКХ.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персональное уведомление жителей об отключениях коммунальных услуг (аварийные и плановые работы) и важных общегородских событиях (новости).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снижение уровня социальной напряженности в городе за счет своевременного уведомления жителей об аварийных и плановых работах на коммунальных сетях.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rPr>
          <w:color w:val="222222"/>
        </w:rPr>
      </w:pPr>
      <w:r>
        <w:rPr>
          <w:color w:val="222222"/>
        </w:rPr>
        <w:t>изучение общественного мнения (голосование) среди жителей города по вопросам, интересующим ОМС.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rPr>
          <w:color w:val="222222"/>
        </w:rPr>
      </w:pPr>
      <w:r>
        <w:rPr>
          <w:color w:val="222222"/>
        </w:rPr>
        <w:t>автоматизация выдачи разрешений на земляные работы.</w:t>
      </w:r>
    </w:p>
    <w:p>
      <w:pPr>
        <w:pStyle w:val="Normal"/>
        <w:spacing w:lineRule="auto" w:line="240" w:before="0" w:after="0"/>
        <w:contextualSpacing/>
        <w:rPr>
          <w:color w:val="222222"/>
        </w:rPr>
      </w:pPr>
      <w:r>
        <w:rPr>
          <w:color w:val="222222"/>
        </w:rPr>
      </w:r>
    </w:p>
    <w:p>
      <w:pPr>
        <w:pStyle w:val="Normal"/>
        <w:spacing w:lineRule="auto" w:line="240" w:before="0" w:after="0"/>
        <w:contextualSpacing/>
        <w:rPr>
          <w:color w:val="222222"/>
        </w:rPr>
      </w:pPr>
      <w:r>
        <w:rPr>
          <w:color w:val="222222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  <w:highlight w:val="white"/>
        </w:rPr>
      </w:pPr>
      <w:r>
        <w:rPr>
          <w:b/>
          <w:color w:val="222222"/>
          <w:shd w:fill="F3F3F3" w:val="clear"/>
        </w:rPr>
        <w:t>2.2. для поставщиков коммунальных ресурсов и исполнителей коммунальных услуг (ресурсоснабжающие и управляющие организации, товарищества собственников жилья);</w:t>
      </w:r>
    </w:p>
    <w:p>
      <w:pPr>
        <w:pStyle w:val="Normal"/>
        <w:spacing w:lineRule="auto" w:line="240" w:before="0" w:after="0"/>
        <w:contextualSpacing/>
        <w:jc w:val="both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spacing w:lineRule="auto" w:line="240" w:before="0" w:after="0"/>
        <w:contextualSpacing/>
        <w:jc w:val="both"/>
        <w:rPr>
          <w:color w:val="222222"/>
        </w:rPr>
      </w:pPr>
      <w:r>
        <w:rPr>
          <w:color w:val="222222"/>
        </w:rPr>
        <w:t>Внедрение ПК «МойДом» в диспетчерских службах поставщиков коммунальных ресурсов (УК, РСО, ТСЖ) позволяет: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ставить в известность администрацию ОМСУ о плановых и аварийных работах на коммунальных сетях и инженерном оборудовании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автоматизировать работу с заявками, поступающими от жителей.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вести детализированный учет работ, произведенных на сетях и оборудовании, с возможностью автоматизации претензионной работы с подрядными организациями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повышать уровень удовлетворенности потребителей предоставляемых коммунальных услуг.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Автоматизация передачи сведений о недопоставках коммунальных ресурсов, а также показаний «умных приборов учёта» коммунальных ресурсов в биллинговый центр</w:t>
      </w:r>
    </w:p>
    <w:p>
      <w:pPr>
        <w:pStyle w:val="Normal"/>
        <w:spacing w:lineRule="auto" w:line="240" w:before="0" w:after="0"/>
        <w:contextualSpacing/>
        <w:jc w:val="center"/>
        <w:rPr>
          <w:color w:val="222222"/>
        </w:rPr>
      </w:pPr>
      <w:r>
        <w:rPr>
          <w:color w:val="222222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color w:val="222222"/>
          <w:highlight w:val="white"/>
        </w:rPr>
      </w:pPr>
      <w:r>
        <w:rPr>
          <w:b/>
          <w:color w:val="222222"/>
          <w:shd w:fill="F3F3F3" w:val="clear"/>
        </w:rPr>
        <w:t>2.3. для жителей города;</w:t>
      </w:r>
    </w:p>
    <w:p>
      <w:pPr>
        <w:pStyle w:val="Normal"/>
        <w:spacing w:lineRule="auto" w:line="240" w:before="0" w:after="0"/>
        <w:contextualSpacing/>
        <w:jc w:val="both"/>
        <w:rPr>
          <w:color w:val="222222"/>
        </w:rPr>
      </w:pPr>
      <w:r>
        <w:rPr>
          <w:color w:val="222222"/>
        </w:rPr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Своевременное получение информации об отключениях холодной и горячей воды, электро-, тепло- и газоснабжении («Предупрежден — значит вооружен»).</w:t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Возможность влияния на важные вопросы, поставленные администрацией города или управляющей организацией (опросы жителей).</w:t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color w:val="222222"/>
        </w:rPr>
      </w:pPr>
      <w:r>
        <w:rPr>
          <w:color w:val="222222"/>
        </w:rPr>
        <w:t>Отправка заявок с описанием коммунальной проблемы для последующего устранения исполнителем коммунальной услуг.</w:t>
      </w:r>
    </w:p>
    <w:p>
      <w:pPr>
        <w:pStyle w:val="Normal"/>
        <w:spacing w:before="0" w:after="0"/>
        <w:ind w:firstLine="720"/>
        <w:contextualSpacing/>
        <w:rPr/>
      </w:pPr>
      <w:r>
        <w:rPr/>
      </w:r>
    </w:p>
    <w:p>
      <w:pPr>
        <w:pStyle w:val="Normal"/>
        <w:spacing w:before="0" w:after="0"/>
        <w:ind w:firstLine="720"/>
        <w:contextualSpacing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Ubuntu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00000A"/>
      <w:sz w:val="22"/>
      <w:szCs w:val="22"/>
      <w:lang w:val="ru" w:eastAsia="zh-CN" w:bidi="hi-IN"/>
    </w:rPr>
  </w:style>
  <w:style w:type="paragraph" w:styleId="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ru" w:eastAsia="zh-CN" w:bidi="hi-IN"/>
    </w:rPr>
  </w:style>
  <w:style w:type="paragraph" w:styleId="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ru" w:eastAsia="zh-CN" w:bidi="hi-IN"/>
    </w:rPr>
  </w:style>
  <w:style w:type="paragraph" w:styleId="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ru" w:eastAsia="zh-CN" w:bidi="hi-IN"/>
    </w:rPr>
  </w:style>
  <w:style w:type="paragraph" w:styleId="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ru" w:eastAsia="zh-CN" w:bidi="hi-IN"/>
    </w:rPr>
  </w:style>
  <w:style w:type="paragraph" w:styleId="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ru" w:eastAsia="zh-CN" w:bidi="hi-IN"/>
    </w:rPr>
  </w:style>
  <w:style w:type="paragraph" w:styleId="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ru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paragraph" w:styleId="Style8">
    <w:name w:val="Заголовок"/>
    <w:basedOn w:val="Normal"/>
    <w:next w:val="Style9"/>
    <w:qFormat/>
    <w:pPr>
      <w:keepNext/>
      <w:spacing w:before="240" w:after="120"/>
      <w:contextualSpacing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88" w:before="0" w:after="140"/>
      <w:contextualSpacing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  <w:contextualSpacing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ru" w:eastAsia="zh-CN" w:bidi="hi-IN"/>
    </w:rPr>
  </w:style>
  <w:style w:type="paragraph" w:styleId="Style13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 LibreOffice_project/f99d75f39f1c57ebdd7ffc5f42867c12031db97a</Application>
  <Pages>3</Pages>
  <Words>362</Words>
  <Characters>2650</Characters>
  <CharactersWithSpaces>2974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2018-07-18T16:42:09Z</dcterms:modified>
  <cp:revision>2</cp:revision>
  <dc:subject/>
  <dc:title/>
</cp:coreProperties>
</file>